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44" w:lineRule="auto"/>
        <w:rPr>
          <w:rFonts w:hint="eastAsia" w:ascii="Times New Roman" w:hAnsi="Times New Roman" w:eastAsia="宋体"/>
          <w:sz w:val="21"/>
          <w:lang w:eastAsia="zh-CN"/>
        </w:rPr>
      </w:pPr>
    </w:p>
    <w:p>
      <w:pPr>
        <w:spacing w:line="344" w:lineRule="auto"/>
        <w:rPr>
          <w:rFonts w:ascii="Times New Roman" w:hAnsi="Times New Roman"/>
          <w:sz w:val="21"/>
        </w:rPr>
      </w:pPr>
      <w:r>
        <w:rPr>
          <w:rFonts w:ascii="Times New Roman" w:hAnsi="Times New Roman"/>
        </w:rPr>
        <w:pict>
          <v:shape id="_x0000_s1026" o:spid="_x0000_s1026" o:spt="202" type="#_x0000_t202" style="position:absolute;left:0pt;margin-left:75.2pt;margin-top:103.1pt;height:54.65pt;width:331.75pt;mso-position-horizontal-relative:page;mso-position-vertical-relative:page;z-index:25165824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8" w:line="221" w:lineRule="auto"/>
                    <w:ind w:firstLine="20"/>
                    <w:rPr>
                      <w:rFonts w:ascii="宋体" w:hAnsi="宋体" w:eastAsia="宋体" w:cs="宋体"/>
                      <w:sz w:val="84"/>
                      <w:szCs w:val="84"/>
                    </w:rPr>
                  </w:pPr>
                  <w:r>
                    <w:rPr>
                      <w:rFonts w:ascii="宋体" w:hAnsi="宋体" w:eastAsia="宋体" w:cs="宋体"/>
                      <w:color w:val="E5163C"/>
                      <w:spacing w:val="-64"/>
                      <w:sz w:val="84"/>
                      <w:szCs w:val="84"/>
                      <w14:textOutline w14:w="15976" w14:cap="flat" w14:cmpd="sng">
                        <w14:solidFill>
                          <w14:srgbClr w14:val="E5163C"/>
                        </w14:solidFill>
                        <w14:prstDash w14:val="solid"/>
                        <w14:miter w14:val="0"/>
                      </w14:textOutline>
                    </w:rPr>
                    <w:t>宜</w:t>
                  </w:r>
                  <w:r>
                    <w:rPr>
                      <w:rFonts w:ascii="宋体" w:hAnsi="宋体" w:eastAsia="宋体" w:cs="宋体"/>
                      <w:color w:val="E5163C"/>
                      <w:spacing w:val="13"/>
                      <w:sz w:val="84"/>
                      <w:szCs w:val="84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color w:val="E5163C"/>
                      <w:spacing w:val="-64"/>
                      <w:sz w:val="84"/>
                      <w:szCs w:val="84"/>
                      <w14:textOutline w14:w="15976" w14:cap="flat" w14:cmpd="sng">
                        <w14:solidFill>
                          <w14:srgbClr w14:val="E5163C"/>
                        </w14:solidFill>
                        <w14:prstDash w14:val="solid"/>
                        <w14:miter w14:val="0"/>
                      </w14:textOutline>
                    </w:rPr>
                    <w:t>良</w:t>
                  </w:r>
                  <w:r>
                    <w:rPr>
                      <w:rFonts w:ascii="宋体" w:hAnsi="宋体" w:eastAsia="宋体" w:cs="宋体"/>
                      <w:color w:val="E5163C"/>
                      <w:spacing w:val="-129"/>
                      <w:sz w:val="84"/>
                      <w:szCs w:val="84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color w:val="E5163C"/>
                      <w:spacing w:val="-64"/>
                      <w:sz w:val="84"/>
                      <w:szCs w:val="84"/>
                      <w14:textOutline w14:w="15976" w14:cap="flat" w14:cmpd="sng">
                        <w14:solidFill>
                          <w14:srgbClr w14:val="E5163C"/>
                        </w14:solidFill>
                        <w14:prstDash w14:val="solid"/>
                        <w14:miter w14:val="0"/>
                      </w14:textOutline>
                    </w:rPr>
                    <w:t>县</w:t>
                  </w:r>
                  <w:r>
                    <w:rPr>
                      <w:rFonts w:ascii="宋体" w:hAnsi="宋体" w:eastAsia="宋体" w:cs="宋体"/>
                      <w:color w:val="E5163C"/>
                      <w:spacing w:val="-128"/>
                      <w:sz w:val="84"/>
                      <w:szCs w:val="84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color w:val="E5163C"/>
                      <w:spacing w:val="-64"/>
                      <w:sz w:val="84"/>
                      <w:szCs w:val="84"/>
                      <w14:textOutline w14:w="15976" w14:cap="flat" w14:cmpd="sng">
                        <w14:solidFill>
                          <w14:srgbClr w14:val="E5163C"/>
                        </w14:solidFill>
                        <w14:prstDash w14:val="solid"/>
                        <w14:miter w14:val="0"/>
                      </w14:textOutline>
                    </w:rPr>
                    <w:t>财</w:t>
                  </w:r>
                  <w:r>
                    <w:rPr>
                      <w:rFonts w:ascii="宋体" w:hAnsi="宋体" w:eastAsia="宋体" w:cs="宋体"/>
                      <w:color w:val="E5163C"/>
                      <w:spacing w:val="-136"/>
                      <w:sz w:val="84"/>
                      <w:szCs w:val="84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color w:val="E5163C"/>
                      <w:spacing w:val="-64"/>
                      <w:sz w:val="84"/>
                      <w:szCs w:val="84"/>
                      <w14:textOutline w14:w="15976" w14:cap="flat" w14:cmpd="sng">
                        <w14:solidFill>
                          <w14:srgbClr w14:val="E5163C"/>
                        </w14:solidFill>
                        <w14:prstDash w14:val="solid"/>
                        <w14:miter w14:val="0"/>
                      </w14:textOutline>
                    </w:rPr>
                    <w:t>政</w:t>
                  </w:r>
                  <w:r>
                    <w:rPr>
                      <w:rFonts w:ascii="宋体" w:hAnsi="宋体" w:eastAsia="宋体" w:cs="宋体"/>
                      <w:color w:val="E5163C"/>
                      <w:spacing w:val="-122"/>
                      <w:sz w:val="84"/>
                      <w:szCs w:val="84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color w:val="E5163C"/>
                      <w:spacing w:val="-64"/>
                      <w:sz w:val="84"/>
                      <w:szCs w:val="84"/>
                      <w14:textOutline w14:w="15976" w14:cap="flat" w14:cmpd="sng">
                        <w14:solidFill>
                          <w14:srgbClr w14:val="E5163C"/>
                        </w14:solidFill>
                        <w14:prstDash w14:val="solid"/>
                        <w14:miter w14:val="0"/>
                      </w14:textOutline>
                    </w:rPr>
                    <w:t>局</w:t>
                  </w:r>
                </w:p>
              </w:txbxContent>
            </v:textbox>
          </v:shape>
        </w:pict>
      </w:r>
    </w:p>
    <w:p>
      <w:pPr>
        <w:spacing w:before="474" w:line="222" w:lineRule="auto"/>
        <w:ind w:firstLine="262"/>
        <w:rPr>
          <w:rFonts w:ascii="Times New Roman" w:hAnsi="Times New Roman" w:eastAsia="仿宋" w:cs="仿宋"/>
          <w:sz w:val="112"/>
          <w:szCs w:val="112"/>
        </w:rPr>
      </w:pPr>
      <w:r>
        <w:rPr>
          <w:rFonts w:ascii="Times New Roman" w:hAnsi="Times New Roman"/>
        </w:rPr>
        <w:pict>
          <v:shape id="_x0000_s1027" o:spid="_x0000_s1027" o:spt="202" type="#_x0000_t202" style="position:absolute;left:0pt;margin-left:70.95pt;margin-top:168.3pt;height:57.1pt;width:369.3pt;mso-position-horizontal-relative:page;mso-position-vertical-relative:page;z-index:25165926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8" w:line="219" w:lineRule="auto"/>
                    <w:ind w:firstLine="20"/>
                    <w:rPr>
                      <w:rFonts w:ascii="宋体" w:hAnsi="宋体" w:eastAsia="宋体" w:cs="宋体"/>
                      <w:sz w:val="80"/>
                      <w:szCs w:val="80"/>
                    </w:rPr>
                  </w:pPr>
                  <w:r>
                    <w:rPr>
                      <w:rFonts w:ascii="宋体" w:hAnsi="宋体" w:eastAsia="宋体" w:cs="宋体"/>
                      <w:color w:val="E5163C"/>
                      <w:spacing w:val="-69"/>
                      <w:sz w:val="80"/>
                      <w:szCs w:val="80"/>
                      <w14:textOutline w14:w="15976" w14:cap="flat" w14:cmpd="sng">
                        <w14:solidFill>
                          <w14:srgbClr w14:val="E5163C"/>
                        </w14:solidFill>
                        <w14:prstDash w14:val="solid"/>
                        <w14:miter w14:val="0"/>
                      </w14:textOutline>
                    </w:rPr>
                    <w:t>宜良县</w:t>
                  </w:r>
                  <w:r>
                    <w:rPr>
                      <w:rFonts w:hint="eastAsia" w:ascii="宋体" w:hAnsi="宋体" w:eastAsia="宋体" w:cs="宋体"/>
                      <w:color w:val="E5163C"/>
                      <w:spacing w:val="-69"/>
                      <w:sz w:val="80"/>
                      <w:szCs w:val="80"/>
                      <w:lang w:eastAsia="zh-CN"/>
                      <w14:textOutline w14:w="15976" w14:cap="flat" w14:cmpd="sng">
                        <w14:solidFill>
                          <w14:srgbClr w14:val="E5163C"/>
                        </w14:solidFill>
                        <w14:prstDash w14:val="solid"/>
                        <w14:miter w14:val="0"/>
                      </w14:textOutline>
                    </w:rPr>
                    <w:t>乡村振兴局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宋体"/>
          <w:color w:val="E51686"/>
          <w:spacing w:val="-162"/>
          <w:position w:val="8"/>
          <w:sz w:val="88"/>
          <w:szCs w:val="88"/>
        </w:rPr>
        <w:t xml:space="preserve"> </w:t>
      </w:r>
      <w:r>
        <w:rPr>
          <w:rFonts w:hint="eastAsia" w:ascii="Times New Roman" w:hAnsi="Times New Roman" w:eastAsia="宋体" w:cs="宋体"/>
          <w:color w:val="E51686"/>
          <w:spacing w:val="-162"/>
          <w:position w:val="8"/>
          <w:sz w:val="88"/>
          <w:szCs w:val="88"/>
          <w:lang w:val="en-US" w:eastAsia="zh-CN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eastAsia="仿宋" w:cs="仿宋"/>
          <w:color w:val="E5163C"/>
          <w:spacing w:val="-84"/>
          <w:w w:val="96"/>
          <w:position w:val="-8"/>
          <w:sz w:val="112"/>
          <w:szCs w:val="112"/>
          <w14:textOutline w14:w="26517" w14:cap="flat" w14:cmpd="sng">
            <w14:solidFill>
              <w14:srgbClr w14:val="E5163C"/>
            </w14:solidFill>
            <w14:prstDash w14:val="solid"/>
            <w14:miter w14:val="0"/>
          </w14:textOutline>
        </w:rPr>
        <w:t>文件</w:t>
      </w:r>
    </w:p>
    <w:p>
      <w:pPr>
        <w:spacing w:line="291" w:lineRule="auto"/>
        <w:rPr>
          <w:rFonts w:ascii="Times New Roman" w:hAnsi="Times New Roman"/>
          <w:sz w:val="21"/>
        </w:rPr>
      </w:pPr>
    </w:p>
    <w:p>
      <w:pPr>
        <w:spacing w:line="291" w:lineRule="auto"/>
        <w:rPr>
          <w:rFonts w:ascii="Times New Roman" w:hAnsi="Times New Roman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center"/>
        <w:textAlignment w:val="baseline"/>
        <w:outlineLvl w:val="9"/>
        <w:rPr>
          <w:rFonts w:ascii="Times New Roman" w:hAnsi="Times New Roman" w:eastAsia="仿宋" w:cs="仿宋"/>
          <w:sz w:val="34"/>
          <w:szCs w:val="34"/>
        </w:rPr>
      </w:pPr>
      <w:r>
        <w:rPr>
          <w:rFonts w:ascii="Times New Roman" w:hAnsi="Times New Roman" w:eastAsia="仿宋" w:cs="仿宋"/>
          <w:spacing w:val="0"/>
          <w:w w:val="100"/>
          <w:sz w:val="32"/>
          <w:szCs w:val="32"/>
        </w:rPr>
        <w:t>宜财联发</w:t>
      </w:r>
      <w:r>
        <w:rPr>
          <w:rFonts w:hint="eastAsia" w:ascii="黑体" w:hAnsi="黑体" w:eastAsia="黑体" w:cs="黑体"/>
          <w:spacing w:val="-15"/>
          <w:w w:val="93"/>
          <w:sz w:val="32"/>
          <w:szCs w:val="32"/>
        </w:rPr>
        <w:t>〔</w:t>
      </w:r>
      <w:r>
        <w:rPr>
          <w:rFonts w:ascii="Times New Roman" w:hAnsi="Times New Roman" w:eastAsia="仿宋" w:cs="仿宋"/>
          <w:spacing w:val="0"/>
          <w:w w:val="100"/>
          <w:sz w:val="32"/>
          <w:szCs w:val="32"/>
        </w:rPr>
        <w:t>202</w:t>
      </w:r>
      <w:r>
        <w:rPr>
          <w:rFonts w:hint="eastAsia" w:ascii="Times New Roman" w:hAnsi="Times New Roman" w:eastAsia="仿宋" w:cs="仿宋"/>
          <w:spacing w:val="0"/>
          <w:w w:val="100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spacing w:val="-15"/>
          <w:w w:val="93"/>
          <w:sz w:val="32"/>
          <w:szCs w:val="32"/>
        </w:rPr>
        <w:t>〕</w:t>
      </w:r>
      <w:r>
        <w:rPr>
          <w:rFonts w:hint="eastAsia" w:ascii="Times New Roman" w:hAnsi="Times New Roman" w:eastAsia="仿宋" w:cs="仿宋"/>
          <w:spacing w:val="41"/>
          <w:sz w:val="32"/>
          <w:szCs w:val="32"/>
          <w:lang w:val="en-US" w:eastAsia="zh-CN"/>
        </w:rPr>
        <w:t>17</w:t>
      </w:r>
      <w:r>
        <w:rPr>
          <w:rFonts w:ascii="Times New Roman" w:hAnsi="Times New Roman" w:eastAsia="仿宋" w:cs="仿宋"/>
          <w:spacing w:val="-15"/>
          <w:w w:val="93"/>
          <w:sz w:val="32"/>
          <w:szCs w:val="32"/>
        </w:rPr>
        <w:t>号</w:t>
      </w:r>
    </w:p>
    <w:p>
      <w:pPr>
        <w:spacing w:before="187" w:line="80" w:lineRule="exac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5994400" cy="36195"/>
            <wp:effectExtent l="0" t="0" r="10160" b="9525"/>
            <wp:docPr id="1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94460" cy="36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4" w:line="219" w:lineRule="auto"/>
        <w:ind w:firstLine="386"/>
        <w:rPr>
          <w:rFonts w:ascii="Times New Roman" w:hAnsi="Times New Roman" w:eastAsia="宋体" w:cs="宋体"/>
          <w:spacing w:val="5"/>
          <w:sz w:val="46"/>
          <w:szCs w:val="46"/>
          <w14:textOutline w14:w="8356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6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6"/>
          <w:sz w:val="44"/>
          <w:szCs w:val="44"/>
        </w:rPr>
        <w:t>宜良县财政局  宜良县乡村振兴局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6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6"/>
          <w:sz w:val="44"/>
          <w:szCs w:val="44"/>
        </w:rPr>
        <w:t>关于下达2022年第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6"/>
          <w:sz w:val="44"/>
          <w:szCs w:val="44"/>
          <w:lang w:val="en-US" w:eastAsia="zh-CN"/>
        </w:rPr>
        <w:t>二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6"/>
          <w:sz w:val="44"/>
          <w:szCs w:val="44"/>
        </w:rPr>
        <w:t>批财政衔接乡村振兴补助项目资金的通知</w:t>
      </w:r>
    </w:p>
    <w:p>
      <w:pPr>
        <w:spacing w:line="580" w:lineRule="exac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各乡镇（街道）、县级相关单位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为保障脱贫攻坚成果巩固拓展与乡村振兴有效衔接工作有序推进，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按照“村申报、乡审核、县审批”程序，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现将2022年度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第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财政衔接乡村振兴补助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项目资金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下达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给你们（项目及资金分配详见附表）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相关事项通知如下：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、项目实施管理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（一）编制实施方案。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项目所在地乡镇（街道）人民政府按照一个项目一个方案要求，编制项目实施方案（红头文件）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于收到资金文件5个工作日内报送县乡村振兴局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 w:val="0"/>
        <w:snapToGrid w:val="0"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楷体_GB2312" w:hAnsi="楷体_GB2312" w:eastAsia="楷体_GB2312" w:cs="楷体_GB2312"/>
          <w:sz w:val="32"/>
          <w:szCs w:val="32"/>
        </w:rPr>
        <w:t>（二）组织实施。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项目实施单位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严格按照项目实施方案组织实施，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不得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随意变更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项目建设内容，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严禁挪用、滞留资金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属于政府采购范围的项目，按照政府采购执行（包括公开招投标、询价、竞争性谈判等）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村级微小型项目可按照村民民主议事方式直接委托村组自建自营。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要严格按照政府采购程序或公开招投标程序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组织实施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 w:val="0"/>
        <w:snapToGrid w:val="0"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楷体_GB2312" w:hAnsi="楷体_GB2312" w:eastAsia="楷体_GB2312" w:cs="楷体_GB2312"/>
          <w:sz w:val="32"/>
          <w:szCs w:val="32"/>
        </w:rPr>
        <w:t>（三）落实公示、公告制度。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严格执行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 w:color="auto"/>
        </w:rPr>
        <w:t>《昆明市人民政府扶贫开发办公室昆明市财政局关于印发〈昆明市扶贫资金项目公示公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u w:val="none" w:color="auto"/>
        </w:rPr>
        <w:t>告制度实施办法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 w:color="auto"/>
        </w:rPr>
        <w:t>〉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u w:val="none" w:color="auto"/>
        </w:rPr>
        <w:t>的通知》（昆开办发〔2019〕4号）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 w:color="auto"/>
        </w:rPr>
        <w:t>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件精神，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落实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项目资金公示公告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制度。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 w:val="0"/>
        <w:autoSpaceDN/>
        <w:bidi w:val="0"/>
        <w:adjustRightInd w:val="0"/>
        <w:snapToGrid w:val="0"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  <w:t>（四）</w:t>
      </w:r>
      <w:r>
        <w:rPr>
          <w:rFonts w:hint="default" w:ascii="楷体_GB2312" w:hAnsi="楷体_GB2312" w:eastAsia="楷体_GB2312" w:cs="楷体_GB2312"/>
          <w:sz w:val="32"/>
          <w:szCs w:val="32"/>
        </w:rPr>
        <w:t>项目验收。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项目建成后由乡镇（街道）组织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验收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验收结果报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乡村振兴局，县乡村振兴局根据验收情况组织抽验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验收通过后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整理相关资料形成台账。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、资金拨付要求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按财政资金管理要求，2022年的衔接资金从财政一体化平台下达到乡镇（街道），由乡镇（街道）审批，通过国库集中支付将项目资金直接支付到施工方。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N/>
        <w:bidi w:val="0"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pacing w:val="0"/>
          <w:sz w:val="32"/>
          <w:szCs w:val="32"/>
          <w:lang w:val="en-US" w:eastAsia="zh-CN"/>
        </w:rPr>
        <w:t>资金支付比例：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项目完成招投标，签订《项目施工合同》并开工建设一周后，50万元及以下项目按扶持资金的40%预拨工程款，50万元以上项目按照扶持资金的30%预拨工程款。项目竣工通过乡镇（街道）验收后，工程款拨付至80%，余下20%待县级验收后核拨（含3%质保金）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N/>
        <w:bidi w:val="0"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pacing w:val="0"/>
          <w:sz w:val="32"/>
          <w:szCs w:val="32"/>
          <w:lang w:val="en-US" w:eastAsia="zh-CN"/>
        </w:rPr>
        <w:t>国库直接支付所需附件：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N/>
        <w:bidi w:val="0"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预拨40%（30%）工程款时，需宜良县财政衔接乡村振兴补助项目资金报账拨付审批表、增值税发票、项目公示公告照片、中标通知书复印件、施工合同复印件。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N/>
        <w:bidi w:val="0"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工程款拨付至80%时，需宜良县财政衔接乡村振兴补助项目资金报账拨付审批表、增值税发票、项目完工公告、完工图片、乡镇（街道）验收卡复印件。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N/>
        <w:bidi w:val="0"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拨付余款20%时，需宜良县财政衔接乡村振兴补助项目资金报账拨付审批表、增值税发票、审计部门或第三方的审计或审核汇总表、乡镇（街道）验收卡复印件。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default" w:ascii="黑体" w:hAnsi="黑体" w:eastAsia="黑体" w:cs="黑体"/>
          <w:color w:val="auto"/>
          <w:sz w:val="32"/>
          <w:szCs w:val="32"/>
          <w:lang w:eastAsia="zh-CN"/>
        </w:rPr>
        <w:t>三、项目资金管理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  <w:t>（一）项目资金使用实行乡镇（街道）报账制度。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要严格按照《宜良县财政局关于进一步加强财政专项扶贫资金管理的通知》（宜财〔2020〕21号）《宜良县扶贫开发领导小组关于实行财政专项扶贫资金乡镇（街道）报账制管理的通知》（宜扶领〔2020〕6号）相关规定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  <w:t>（二）实行设施建设项目质量保证金制度（预留比例3%）。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完工后按基础设施项目建设和验收决算规定开展项目竣工验收，积极探索委托有资质的第三方参与项目验收、审计决算的工作模式，做到竣工一个、决算一个、验收一个。项目验收时，除必要的项目资料外，必须有第三方审计单位出具的项目竣工决算审核报告，竣工决算审核报告作为乡镇（街道）拨付项目补助尾款的重要凭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default" w:ascii="黑体" w:hAnsi="黑体" w:eastAsia="黑体" w:cs="黑体"/>
          <w:color w:val="auto"/>
          <w:sz w:val="32"/>
          <w:szCs w:val="32"/>
          <w:lang w:eastAsia="zh-CN"/>
        </w:rPr>
        <w:t>四、扶贫资产管理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  <w:t>（一）资产所有权。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依法依规对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衔接资金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项目建设形成的资产进行评估认定，做到协商一致、明晰权利义务。对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衔接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资金投入项目所形成的可持续利用的经营性资产，所有权归项目受益村集体所有，项目竣工验收后及时移交项目资产，确权后由村集体纳入管理。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  <w:t>（二）资产收益分配。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项目形成的资产收益（直接到户的收益除外），由村集体通过设置公益性岗位、小型公益事业、以奖代补助等方式进行二次分配，对象从项目关联的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脱贫户、监测户、其他低收入人口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中选择，重点带动无稳定收入来源的低收入建档立卡贫困户增收。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  <w:t>（三）资产监管。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项目一经审核批准实施后，乡镇（街道）和村（社区）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建立健全事前、事中和事后全过程监管机制，做到项目实施和资金安排严格按照乡镇（街道）受益分配管理制度执行，明确管护主体，落实管护责任，以村委会为单位每年度进行一次资产公示，接受群众监督，确保资产保值增值，发挥长期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  <w:t>五</w:t>
      </w:r>
      <w:r>
        <w:rPr>
          <w:rFonts w:hint="default" w:ascii="黑体" w:hAnsi="黑体" w:eastAsia="黑体" w:cs="黑体"/>
          <w:color w:val="auto"/>
          <w:sz w:val="32"/>
          <w:szCs w:val="32"/>
          <w:lang w:eastAsia="zh-CN"/>
        </w:rPr>
        <w:t>、资金绩效评价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项目验收后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严格执行资金绩效评价管理规定，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做好项目绩效评价并填报项目绩效评价表。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衔接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资金的管理使用要严格执行相关规定，对资金投入情况、资金拨付、资金监管、资金使用成效等方面按规定进行全面评价，确保项目绩效评价全覆盖，达到预期效益。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  <w:t>六、相关要求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一是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4个省级贫困村驻村工作队市级补助工作经费已在该文件一并安排，不再另行发文，请相关乡镇按照要求使用。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二是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及时将资金和项目录入“全国防返贫监测信息系统”，按照项目进度实时更新系统信息。三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是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年第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衔接资金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必须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于202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月30日前竣工验收，并及时收集相关台帐资料，装订成册报送至县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乡村振兴局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916" w:leftChars="304" w:right="0" w:rightChars="0" w:hanging="1280" w:hangingChars="4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附件：1.宜良县202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年第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财政衔接乡村振兴补助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资金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安排表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913" w:leftChars="760" w:right="0" w:rightChars="0" w:hanging="320" w:hangingChars="1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宜良县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财政衔接乡村振兴补助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项目资金报账拨付审批表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1600" w:firstLineChars="5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产业扶贫项目台账目录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4.基础设施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材料清单（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right="0" w:rightChars="0" w:firstLine="640" w:firstLineChars="200"/>
        <w:jc w:val="left"/>
        <w:textAlignment w:val="baseline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right="0" w:rightChars="0" w:firstLine="640" w:firstLineChars="200"/>
        <w:jc w:val="left"/>
        <w:textAlignment w:val="baseline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</w:t>
      </w:r>
    </w:p>
    <w:p>
      <w:pPr>
        <w:pStyle w:val="3"/>
        <w:rPr>
          <w:rFonts w:hint="default" w:ascii="Times New Roman" w:hAnsi="Times New Roman" w:cs="Times New Roman"/>
          <w:sz w:val="32"/>
          <w:szCs w:val="32"/>
        </w:rPr>
      </w:pPr>
    </w:p>
    <w:p>
      <w:pPr>
        <w:spacing w:line="580" w:lineRule="exact"/>
        <w:ind w:firstLine="1760" w:firstLineChars="55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宜良县财政局   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宜良县乡村振兴局</w:t>
      </w:r>
    </w:p>
    <w:p>
      <w:pPr>
        <w:spacing w:line="580" w:lineRule="exact"/>
        <w:ind w:firstLine="1760" w:firstLineChars="550"/>
        <w:rPr>
          <w:rFonts w:hint="default" w:ascii="Times New Roman" w:hAnsi="Times New Roman" w:eastAsia="仿宋_GB2312" w:cs="Times New Roman"/>
          <w:b w:val="0"/>
          <w:snapToGrid w:val="0"/>
          <w:color w:val="000000"/>
          <w:spacing w:val="0"/>
          <w:w w:val="1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</w:t>
      </w:r>
      <w:r>
        <w:rPr>
          <w:rFonts w:hint="default" w:ascii="Times New Roman" w:hAnsi="Times New Roman" w:eastAsia="仿宋_GB2312" w:cs="Times New Roman"/>
          <w:b w:val="0"/>
          <w:snapToGrid w:val="0"/>
          <w:color w:val="000000"/>
          <w:spacing w:val="0"/>
          <w:w w:val="100"/>
          <w:kern w:val="0"/>
          <w:sz w:val="32"/>
          <w:szCs w:val="32"/>
          <w:lang w:val="en-US" w:eastAsia="zh-CN"/>
        </w:rPr>
        <w:t xml:space="preserve">                                   </w:t>
      </w:r>
    </w:p>
    <w:p>
      <w:pPr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 w:rightChars="0" w:firstLine="2880" w:firstLineChars="900"/>
        <w:jc w:val="both"/>
        <w:textAlignment w:val="baseline"/>
        <w:outlineLvl w:val="9"/>
        <w:rPr>
          <w:rFonts w:hint="default" w:ascii="Times New Roman" w:hAnsi="Times New Roman" w:eastAsia="仿宋_GB2312" w:cs="Times New Roman"/>
          <w:b w:val="0"/>
          <w:snapToGrid w:val="0"/>
          <w:color w:val="000000"/>
          <w:spacing w:val="0"/>
          <w:w w:val="1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snapToGrid w:val="0"/>
          <w:color w:val="000000"/>
          <w:spacing w:val="0"/>
          <w:w w:val="100"/>
          <w:kern w:val="0"/>
          <w:sz w:val="32"/>
          <w:szCs w:val="32"/>
          <w:lang w:val="en-US" w:eastAsia="zh-CN"/>
        </w:rPr>
        <w:t xml:space="preserve"> 2022年  3  月</w:t>
      </w:r>
      <w:r>
        <w:rPr>
          <w:rFonts w:hint="eastAsia" w:ascii="Times New Roman" w:hAnsi="Times New Roman" w:eastAsia="仿宋_GB2312" w:cs="Times New Roman"/>
          <w:b w:val="0"/>
          <w:snapToGrid w:val="0"/>
          <w:color w:val="000000"/>
          <w:spacing w:val="0"/>
          <w:w w:val="100"/>
          <w:kern w:val="0"/>
          <w:sz w:val="32"/>
          <w:szCs w:val="32"/>
          <w:lang w:val="en-US" w:eastAsia="zh-CN"/>
        </w:rPr>
        <w:t xml:space="preserve">28 </w:t>
      </w:r>
      <w:r>
        <w:rPr>
          <w:rFonts w:hint="default" w:ascii="Times New Roman" w:hAnsi="Times New Roman" w:eastAsia="仿宋_GB2312" w:cs="Times New Roman"/>
          <w:b w:val="0"/>
          <w:snapToGrid w:val="0"/>
          <w:color w:val="000000"/>
          <w:spacing w:val="0"/>
          <w:w w:val="100"/>
          <w:kern w:val="0"/>
          <w:sz w:val="32"/>
          <w:szCs w:val="32"/>
          <w:lang w:val="en-US" w:eastAsia="zh-CN"/>
        </w:rPr>
        <w:t>日</w:t>
      </w:r>
    </w:p>
    <w:p>
      <w:pPr>
        <w:pStyle w:val="14"/>
        <w:rPr>
          <w:rFonts w:hint="default" w:ascii="Times New Roman" w:hAnsi="Times New Roman" w:eastAsia="仿宋_GB2312" w:cs="Times New Roman"/>
          <w:b w:val="0"/>
          <w:snapToGrid w:val="0"/>
          <w:color w:val="000000"/>
          <w:spacing w:val="0"/>
          <w:w w:val="100"/>
          <w:kern w:val="0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 w:rightChars="0"/>
        <w:jc w:val="both"/>
        <w:textAlignment w:val="baseline"/>
        <w:outlineLvl w:val="9"/>
        <w:rPr>
          <w:rFonts w:eastAsia="仿宋_GB2312"/>
          <w:color w:val="000000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right="0" w:rightChars="0" w:firstLine="210" w:firstLineChars="100"/>
        <w:jc w:val="both"/>
        <w:textAlignment w:val="baseline"/>
        <w:outlineLvl w:val="9"/>
        <w:rPr>
          <w:rFonts w:eastAsia="仿宋_GB2312"/>
          <w:snapToGrid w:val="0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12700</wp:posOffset>
                </wp:positionH>
                <wp:positionV relativeFrom="paragraph">
                  <wp:posOffset>27305</wp:posOffset>
                </wp:positionV>
                <wp:extent cx="561594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000000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pt;margin-top:2.15pt;height:0pt;width:442.2pt;z-index:251661312;mso-width-relative:page;mso-height-relative:page;" filled="f" stroked="t" coordsize="21600,21600" o:gfxdata="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jnFkG1QAAAAUBAAAPAAAAAAAA&#10;AAEAIAAAACIAAABkcnMvZG93bnJldi54bWxQSwECFAAUAAAACACHTuJA59s4P9wBAACUAwAADgAA&#10;AAAAAAABACAAAAAkAQAAZHJzL2Uyb0RvYy54bWxQSwUGAAAAAAYABgBZAQAAcgUAAAAA&#10;">
                <v:fill on="f" focussize="0,0"/>
                <v:stroke weight="1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仿宋_GB2312"/>
          <w:sz w:val="28"/>
          <w:szCs w:val="28"/>
        </w:rPr>
        <w:t>抄送：</w:t>
      </w:r>
      <w:r>
        <w:rPr>
          <w:rFonts w:hint="eastAsia" w:ascii="仿宋_GB2312" w:hAnsi="仿宋_GB2312" w:eastAsia="仿宋_GB2312" w:cs="仿宋_GB2312"/>
          <w:snapToGrid w:val="0"/>
          <w:color w:val="auto"/>
          <w:sz w:val="28"/>
          <w:szCs w:val="28"/>
          <w:lang w:val="en-US" w:eastAsia="zh-CN"/>
        </w:rPr>
        <w:t>县委办、县人大办、县政府办、县政协办、县纪委办。</w:t>
      </w:r>
      <w:r>
        <w:rPr>
          <w:rFonts w:eastAsia="仿宋_GB2312"/>
          <w:snapToGrid w:val="0"/>
          <w:sz w:val="28"/>
          <w:szCs w:val="28"/>
        </w:rPr>
        <w:t xml:space="preserve">             </w:t>
      </w:r>
    </w:p>
    <w:p>
      <w:pPr>
        <w:pStyle w:val="1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right="0" w:rightChars="0" w:firstLine="210" w:firstLineChars="100"/>
        <w:jc w:val="both"/>
        <w:textAlignment w:val="baseline"/>
        <w:outlineLvl w:val="9"/>
        <w:rPr>
          <w:rFonts w:hint="default" w:ascii="Times New Roman" w:hAnsi="Times New Roman" w:eastAsia="仿宋_GB2312"/>
          <w:snapToGrid w:val="0"/>
          <w:sz w:val="28"/>
          <w:szCs w:val="28"/>
          <w:lang w:val="en-US" w:eastAsia="zh-CN"/>
        </w:rPr>
      </w:pPr>
      <w:r>
        <w:rPr>
          <w:rFonts w:ascii="Times New Roman" w:hAnsi="Times New Roman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39370</wp:posOffset>
                </wp:positionV>
                <wp:extent cx="5615940" cy="1397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29300" cy="139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.75pt;margin-top:3.1pt;height:1.1pt;width:442.2pt;z-index:251662336;mso-width-relative:page;mso-height-relative:page;" filled="f" stroked="t" coordsize="21600,21600" o:gfxdata="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i/qWLTAAAABQEAAA8A&#10;AAAAAAAAAQAgAAAAIgAAAGRycy9kb3ducmV2LnhtbFBLAQIUABQAAAAIAIdO4kDz92ya4wEAAKgD&#10;AAAOAAAAAAAAAAEAIAAAACI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-15875</wp:posOffset>
                </wp:positionH>
                <wp:positionV relativeFrom="paragraph">
                  <wp:posOffset>395605</wp:posOffset>
                </wp:positionV>
                <wp:extent cx="561594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4410" y="9195435"/>
                          <a:ext cx="561594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000000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25pt;margin-top:31.15pt;height:0pt;width:442.2pt;z-index:251660288;mso-width-relative:page;mso-height-relative:page;" filled="f" stroked="t" coordsize="21600,21600" o:gfxdata="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7k1I&#10;EdgAAAAIAQAADwAAAAAAAAABACAAAAAiAAAAZHJzL2Rvd25yZXYueG1sUEsBAhQAFAAAAAgAh07i&#10;QH5p4tDpAQAAnwMAAA4AAAAAAAAAAQAgAAAAJwEAAGRycy9lMm9Eb2MueG1sUEsFBgAAAAAGAAYA&#10;WQEAAIIFAAAAAA==&#10;">
                <v:fill on="f" focussize="0,0"/>
                <v:stroke weight="1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eastAsia="仿宋_GB2312"/>
          <w:sz w:val="28"/>
          <w:szCs w:val="28"/>
          <w:lang w:eastAsia="zh-CN"/>
        </w:rPr>
        <w:t>宜良县财政</w:t>
      </w:r>
      <w:r>
        <w:rPr>
          <w:rFonts w:ascii="Times New Roman" w:hAnsi="Times New Roman" w:eastAsia="仿宋_GB2312"/>
          <w:snapToGrid w:val="0"/>
          <w:sz w:val="28"/>
          <w:szCs w:val="28"/>
        </w:rPr>
        <w:t xml:space="preserve">局办公室             </w:t>
      </w:r>
      <w:r>
        <w:rPr>
          <w:rFonts w:hint="eastAsia" w:ascii="Times New Roman" w:hAnsi="Times New Roman" w:eastAsia="仿宋_GB2312"/>
          <w:snapToGrid w:val="0"/>
          <w:sz w:val="28"/>
          <w:szCs w:val="28"/>
          <w:lang w:val="en-US" w:eastAsia="zh-CN"/>
        </w:rPr>
        <w:t xml:space="preserve">                                      </w:t>
      </w:r>
      <w:r>
        <w:rPr>
          <w:rFonts w:ascii="Times New Roman" w:hAnsi="Times New Roman" w:eastAsia="仿宋_GB2312"/>
          <w:snapToGrid w:val="0"/>
          <w:sz w:val="28"/>
          <w:szCs w:val="28"/>
        </w:rPr>
        <w:t>2022年</w:t>
      </w:r>
      <w:r>
        <w:rPr>
          <w:rFonts w:hint="eastAsia" w:ascii="Times New Roman" w:hAnsi="Times New Roman" w:eastAsia="仿宋_GB2312"/>
          <w:snapToGrid w:val="0"/>
          <w:sz w:val="28"/>
          <w:szCs w:val="28"/>
          <w:lang w:val="en-US" w:eastAsia="zh-CN"/>
        </w:rPr>
        <w:t>3月28日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 Light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方正小标宋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new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ewTIm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60" w:firstLine="360"/>
    </w:pP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outside;mso-position-horizontal-relative:margin;mso-wrap-style:none;z-index:25166336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DOqXm5zwAAAAUB&#10;AAAPAAAAAAAAAAEAIAAAACIAAABkcnMvZG93bnJldi54bWxQSwECFAAUAAAACACHTuJArowpTrIB&#10;AABZAwAADgAAAAAAAAABACAAAAAeAQAAZHJzL2Uyb0RvYy54bWxQSwUGAAAAAAYABgBZAQAAQgUA&#10;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3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2"/>
    </o:shapelayout>
  </w:hdrShapeDefaults>
  <w:compat>
    <w:spaceForUL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rsids>
    <w:rsidRoot w:val="00000000"/>
    <w:rsid w:val="08474789"/>
    <w:rsid w:val="09985F9B"/>
    <w:rsid w:val="0AB7401B"/>
    <w:rsid w:val="0D347814"/>
    <w:rsid w:val="0E3F2B2F"/>
    <w:rsid w:val="155814EB"/>
    <w:rsid w:val="193B7B10"/>
    <w:rsid w:val="19D654F0"/>
    <w:rsid w:val="22055DD1"/>
    <w:rsid w:val="238D5616"/>
    <w:rsid w:val="26A57286"/>
    <w:rsid w:val="2B7E263C"/>
    <w:rsid w:val="2CC80770"/>
    <w:rsid w:val="2E5127A3"/>
    <w:rsid w:val="2EF05266"/>
    <w:rsid w:val="338E17D0"/>
    <w:rsid w:val="39F363AE"/>
    <w:rsid w:val="39FC1C9D"/>
    <w:rsid w:val="3C7D6481"/>
    <w:rsid w:val="3CCE218D"/>
    <w:rsid w:val="3FAE2E69"/>
    <w:rsid w:val="3FC279D5"/>
    <w:rsid w:val="3FF00BA4"/>
    <w:rsid w:val="43565510"/>
    <w:rsid w:val="44122B39"/>
    <w:rsid w:val="46F307AD"/>
    <w:rsid w:val="48201B07"/>
    <w:rsid w:val="51160F4B"/>
    <w:rsid w:val="52187EE3"/>
    <w:rsid w:val="529934B9"/>
    <w:rsid w:val="55470A4D"/>
    <w:rsid w:val="5673261D"/>
    <w:rsid w:val="61F112FD"/>
    <w:rsid w:val="64330A54"/>
    <w:rsid w:val="6D232542"/>
    <w:rsid w:val="78E26CD4"/>
    <w:rsid w:val="7DE52BDD"/>
  </w:rsids>
  <m:mathPr>
    <m:lMargin m:val="0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3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44"/>
      <w:sz w:val="48"/>
      <w:szCs w:val="4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</w:style>
  <w:style w:type="paragraph" w:styleId="5">
    <w:name w:val="Normal Indent"/>
    <w:basedOn w:val="1"/>
    <w:next w:val="1"/>
    <w:qFormat/>
    <w:uiPriority w:val="0"/>
    <w:pPr>
      <w:jc w:val="left"/>
    </w:pPr>
    <w:rPr>
      <w:szCs w:val="20"/>
    </w:rPr>
  </w:style>
  <w:style w:type="paragraph" w:styleId="6">
    <w:name w:val="Body Text Indent"/>
    <w:basedOn w:val="1"/>
    <w:qFormat/>
    <w:uiPriority w:val="0"/>
    <w:pPr>
      <w:ind w:firstLine="660"/>
    </w:pPr>
    <w:rPr>
      <w:rFonts w:ascii="宋体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Body Text First Indent 2"/>
    <w:basedOn w:val="6"/>
    <w:qFormat/>
    <w:uiPriority w:val="0"/>
    <w:pPr>
      <w:spacing w:after="120"/>
      <w:ind w:firstLine="872"/>
    </w:pPr>
    <w:rPr>
      <w:rFonts w:ascii="Times New Roman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Title"/>
    <w:basedOn w:val="1"/>
    <w:qFormat/>
    <w:uiPriority w:val="0"/>
    <w:rPr>
      <w:rFonts w:ascii="Arial" w:hAnsi="Arial"/>
      <w:sz w:val="32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4">
    <w:name w:val="无间隔1"/>
    <w:basedOn w:val="1"/>
    <w:semiHidden/>
    <w:qFormat/>
    <w:uiPriority w:val="0"/>
    <w:rPr>
      <w:szCs w:val="21"/>
    </w:rPr>
  </w:style>
  <w:style w:type="table" w:customStyle="1" w:styleId="15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141"/>
    <w:basedOn w:val="11"/>
    <w:qFormat/>
    <w:uiPriority w:val="0"/>
    <w:rPr>
      <w:rFonts w:ascii="仿宋_GB2312" w:eastAsia="仿宋_GB2312" w:cs="仿宋_GB2312"/>
      <w:b/>
      <w:color w:val="000000"/>
      <w:sz w:val="24"/>
      <w:szCs w:val="24"/>
      <w:u w:val="none"/>
    </w:rPr>
  </w:style>
  <w:style w:type="character" w:customStyle="1" w:styleId="17">
    <w:name w:val="font101"/>
    <w:basedOn w:val="11"/>
    <w:qFormat/>
    <w:uiPriority w:val="0"/>
    <w:rPr>
      <w:rFonts w:hint="default" w:ascii="Times New Roman" w:hAnsi="Times New Roman" w:cs="Times New Roman"/>
      <w:b/>
      <w:color w:val="000000"/>
      <w:sz w:val="24"/>
      <w:szCs w:val="24"/>
      <w:u w:val="none"/>
    </w:rPr>
  </w:style>
  <w:style w:type="character" w:customStyle="1" w:styleId="18">
    <w:name w:val="font151"/>
    <w:basedOn w:val="11"/>
    <w:qFormat/>
    <w:uiPriority w:val="0"/>
    <w:rPr>
      <w:rFonts w:hint="eastAsia" w:ascii="仿宋_GB2312" w:eastAsia="仿宋_GB2312" w:cs="仿宋_GB2312"/>
      <w:b/>
      <w:color w:val="000000"/>
      <w:sz w:val="24"/>
      <w:szCs w:val="24"/>
      <w:u w:val="none"/>
    </w:rPr>
  </w:style>
  <w:style w:type="character" w:customStyle="1" w:styleId="19">
    <w:name w:val="font31"/>
    <w:basedOn w:val="11"/>
    <w:qFormat/>
    <w:uiPriority w:val="0"/>
    <w:rPr>
      <w:rFonts w:hint="eastAsia" w:ascii="仿宋_GB2312" w:eastAsia="仿宋_GB2312" w:cs="仿宋_GB2312"/>
      <w:b/>
      <w:color w:val="000000"/>
      <w:sz w:val="24"/>
      <w:szCs w:val="24"/>
      <w:u w:val="none"/>
    </w:rPr>
  </w:style>
  <w:style w:type="character" w:customStyle="1" w:styleId="20">
    <w:name w:val="font01"/>
    <w:basedOn w:val="11"/>
    <w:qFormat/>
    <w:uiPriority w:val="0"/>
    <w:rPr>
      <w:rFonts w:hint="eastAsia" w:ascii="仿宋_GB2312" w:eastAsia="仿宋_GB2312" w:cs="仿宋_GB2312"/>
      <w:b/>
      <w:color w:val="FF0000"/>
      <w:sz w:val="24"/>
      <w:szCs w:val="24"/>
      <w:u w:val="none"/>
    </w:rPr>
  </w:style>
  <w:style w:type="character" w:customStyle="1" w:styleId="21">
    <w:name w:val="font121"/>
    <w:basedOn w:val="11"/>
    <w:qFormat/>
    <w:uiPriority w:val="0"/>
    <w:rPr>
      <w:rFonts w:hint="eastAsia" w:ascii="仿宋_GB2312" w:eastAsia="仿宋_GB2312" w:cs="仿宋_GB2312"/>
      <w:b/>
      <w:color w:val="FF0000"/>
      <w:sz w:val="24"/>
      <w:szCs w:val="24"/>
      <w:u w:val="none"/>
    </w:rPr>
  </w:style>
  <w:style w:type="character" w:customStyle="1" w:styleId="22">
    <w:name w:val="font21"/>
    <w:basedOn w:val="11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2022-02-18T09:29:00Z</dcterms:created>
  <dc:creator>admin</dc:creator>
  <cp:lastModifiedBy>宜良县财政局</cp:lastModifiedBy>
  <cp:lastPrinted>2022-03-05T03:04:55Z</cp:lastPrinted>
  <dcterms:modified xsi:type="dcterms:W3CDTF">2022-03-05T03:04:57Z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wqlLaW5nc29mdCBQREYgdG8gV1BTIDcw</vt:lpwstr>
  </property>
  <property fmtid="{D5CDD505-2E9C-101B-9397-08002B2CF9AE}" pid="3" name="Created">
    <vt:filetime>2022-02-18T17:26:12Z</vt:filetime>
  </property>
  <property fmtid="{D5CDD505-2E9C-101B-9397-08002B2CF9AE}" pid="4" name="KSOProductBuildVer">
    <vt:lpwstr>2052-10.8.0.5950</vt:lpwstr>
  </property>
</Properties>
</file>